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wybrać system rusztowań fasadowych?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rusztowań fasadowych powinny być przede wszystkim bezpieczne, solidne i zgodne z przepisami. Sprawdź jakie rusztowania wybrać do twojego projektu?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rusztowań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rusztowania powinny wyróżniać się na tle zwykłych rusztowań jakością wykonania. Stal, która używana jest w SLV Group jest lżejsza, wytrzymalsza i długowieczna. Dzięki temu mamy pewność, że rusztowania posłużą na lata i nie ulegną zniszczeniu. Polski </w:t>
      </w:r>
      <w:r>
        <w:rPr>
          <w:rFonts w:ascii="calibri" w:hAnsi="calibri" w:eastAsia="calibri" w:cs="calibri"/>
          <w:sz w:val="24"/>
          <w:szCs w:val="24"/>
          <w:b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to przede wszystkim gwarancja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system rusztowań fasadowych SLV?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Rusztowania SLV są na rynku już od wielu lat. Oprócz współpracy z polskimi firmami zawierane są kontrakty z wieloma państwami europejskimi, a nawet z Azją i Afryką drogą morską. W związku z rozwojem nowoczesnych technologii rusztowania SLV dopasowują się do nawet najbardziej wymagających projektów. Warto wybierać to co sprawdzone i bezpieczne. Polski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rusztowań fasadowych</w:t>
      </w:r>
      <w:r>
        <w:rPr>
          <w:rFonts w:ascii="calibri" w:hAnsi="calibri" w:eastAsia="calibri" w:cs="calibri"/>
          <w:sz w:val="24"/>
          <w:szCs w:val="24"/>
        </w:rPr>
        <w:t xml:space="preserve"> oparty jest o wieloletnie testy i kontrole jakości. Przy odpowiednim montażu nie ma możliwości ryzyka katastrofy spowodowanej przez zawalenie rusztowania. Bezpieczeństwo jest priorytetem.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rusztowania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tego, z jakim rodzajem budynku, konstrukcji mamy do czynienia indywidualnie dobierany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rusztowań fasadowych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Trzy główne rusztowania, jakie są produkowane w SLV Group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SLV-M - rusztowanie modułowe, do wszelkiego rodzaju nietypowych konstrukcji, wykorzystywane również w przemyśle energetycznym, stoczniach, hutach.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SLV-70 - rusztowanie ramowe, które gwarantuje uzyskanie solidnej, bezpiecznej konstrukcji.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- SLV-73 stosowane przy konstrukcjach biurowych oraz mieszkalnych, może być łączone z rusztowaniem modułowym.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v-group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2025-10-26T03:08:27+01:00</dcterms:created>
  <dcterms:modified xsi:type="dcterms:W3CDTF">2025-10-26T03:08:27+01:00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